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59" w:rsidRPr="00D10959" w:rsidRDefault="00D10959" w:rsidP="00D10959">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1"/>
        <w:rPr>
          <w:rFonts w:ascii="Times New Roman" w:eastAsia="Times New Roman" w:hAnsi="Times New Roman" w:cs="Times New Roman"/>
          <w:b/>
          <w:spacing w:val="20"/>
          <w:sz w:val="30"/>
          <w:szCs w:val="30"/>
          <w:lang w:val="sl-SI"/>
        </w:rPr>
      </w:pPr>
      <w:bookmarkStart w:id="0" w:name="_GoBack"/>
      <w:bookmarkEnd w:id="0"/>
      <w:r w:rsidRPr="00D10959">
        <w:rPr>
          <w:rFonts w:ascii="Times New Roman" w:eastAsia="Times New Roman" w:hAnsi="Times New Roman" w:cs="Times New Roman"/>
          <w:b/>
          <w:spacing w:val="20"/>
          <w:sz w:val="30"/>
          <w:szCs w:val="30"/>
          <w:lang w:val="sl-SI"/>
        </w:rPr>
        <w:t>02505 Ministarstvo financija</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Unutar svoga djelokruga Ministarstvo financija u užem smislu nadležno je za poslove koji se odnose na: izradu osnova za financiranje javnih potreba i nacrt državnog proračuna; izvršavanje državnog proračuna; vođenje glavne knjige državne riznice  i sastavljanje konsolidiranih financijskih izvještaja proračuna Republike Hrvatske; upravljanje financijskim tijekovima; proračunski nadzor; razvoj sustava proračunskog računovodstva i financijskog izvještavanja; analize i prognoze makroekonomskih kretanja; upravljanje portfeljem javnog duga; praćenje i unapređenje financijskog sustava; unapređenje i koordinaciju sustava politike koncesija; proračunski nadzor;izgradnju i održavanje graničnih prijelaza; uspostavu i razvoj sustava unutarnjih kontrola u javnom sektoru na državnoj i lokalnim razinama; poduzimanje mjera za sprečavanje pranja novca i financiranje terorizma; analize i praćenje ekonomskih kretanja iz područja financijskog sustava; suradnju sa međunarodnim financijskim institucijama te obavlja i druge poslove koji su mu stavljeni u nadležnost posebnim zakonom.</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02505</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22.050.887</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28.694.237</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40.001.860</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38.196.043</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38.793.296</w:t>
            </w:r>
          </w:p>
        </w:tc>
        <w:tc>
          <w:tcPr>
            <w:tcW w:w="510"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139,4</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Arial"/>
          <w:b/>
          <w:iCs/>
          <w:spacing w:val="20"/>
          <w:sz w:val="28"/>
          <w:szCs w:val="28"/>
          <w:lang w:val="sl-SI"/>
        </w:rPr>
      </w:pPr>
      <w:r w:rsidRPr="00D10959">
        <w:rPr>
          <w:rFonts w:ascii="Times New Roman" w:eastAsia="Times New Roman" w:hAnsi="Times New Roman" w:cs="Times New Roman"/>
          <w:b/>
          <w:iCs/>
          <w:spacing w:val="20"/>
          <w:sz w:val="28"/>
          <w:szCs w:val="28"/>
          <w:lang w:val="sl-SI"/>
        </w:rPr>
        <w:t>2203 UPRAVLJANJE SUSTAVOM JAVNIH FINANCIJA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2203</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15.216.289</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19.070.837</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23.946.382</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23.989.394</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24.254.839</w:t>
            </w:r>
          </w:p>
        </w:tc>
        <w:tc>
          <w:tcPr>
            <w:tcW w:w="510"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125,6</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Unutar programa Upravljanje sustavom javnih financija osigurani su rashodi za obavljanje redovne djalotnosti užeg dijela Ministarstva financija. Riječ je o poslovima koji se odnose na: izradu osnova za financiranje javnih potreba i nacrt državnog proračuna; izvršavanje državnog proračuna; vođenje glavne knjige državne riznice i sastavljanje konsolidiranih financijskih izvještaja proračuna Republike Hrvatske; upravljanje financijskim tijekovima; proračunski nadzor; razvoj sustava proračunskog računovodstva i financijskog izvještavanja; analize i prognoze makroekonomskih kretanja; upravljanje portfeljem javnog duga; praćenje i unapređenje financijskog sustava; unapređenje i koordinaciju sustava politike koncesija; proračunski nadzor; uspostavu i razvoj sustava unutarnjih kontrola u javnom sektoru na državnoj i lokalnim razinama; poduzimanje mjera za sprečavanje pranja novca i financiranje terorizma; analize i praćenje ekonomskih kretanja iz područja financijskog sustava te suradnju s međunarodnim financijskim institucijama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Cilj 1. Povećati učinkovitost i transparentnost upravljanja javnim financijama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učinka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lastRenderedPageBreak/>
              <w:t>U okviru projekta "Jačanje sustava fiskalne odgovornosti i sustava unutarnjih kontrola" uspostaviti će se informacijski sustav za prikupljanje podataka, uspostavu baze prikupljenih podataka, njihovu obradu i izradu izvješća kao preduvjet za upravljanje cjelovitim sustavom fiskalne odgovornosti i jačanje svijesti čelnika o njihovoj odgovornosti za zakonito, namjensko i svrhovito korištenje sredstava.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Razvojem informacijskog sustava doprinijeti će se učinkovitijem prikupljanju, obradi i analizi dostavljenih Izjava, kontinuiranom praćenju provedbe aktivnosti za otklanjanje utvrđenih nepravilnosti i slabosti te efikasnijem provođenju formalnih i suštinskih kontrola dostavljenih Izjava o fiskalnoj odgovornosti što će u konačnici predstavljati alalt za poboljšanje sustava upravljanja i unaprjeđenja fiskalne odgovornosti u javnom sektoru.</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A321074 TEHNIČKA POMOĆ IZ NORVEŠKOG FINANCIJSKOG INSTRUMENTA I FINANCIJSKOG INSTRUMENTA EUROPSKOG GOSPODARSKOG PROSTORA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Zakon o potvrđivanju memoranduma o suglasnosti i provedbi EGP financijskog mehanizma za razdoblje 2014. do 2021. između RH i Kraljevine Norveške, Islanda i Kneževine Lihtenštajna , Zakon o potvrđivanju memoranduma o suglasnosti o provedbi Norveškog financijskog mehanizma za razdoblje od 2014. do 2021. između Republike Hrvatske i Kraljevine Norveške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A321074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2.494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3.982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159,7</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Cilj ovog projekta je osiguranje materijalnih resursa Ministarstva financija za učinkovito upravljanje i kontrolu izdataka koji se prijavljuju donorima. te omogućavanje održivosti rezultata ostvarenih kroz projekt nakon završetka. Rezultati projekta osiguravaju temelj za nadogradnju rada Ministarstva financija u idućem programskom razdoblju.Planirana sredstva osiguravaju se u 100% za edukacije i službena putovanja putovanja službenika u čijem je djelokrugu provedba predmetne aktivnosti.</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6"/>
        <w:gridCol w:w="2245"/>
        <w:gridCol w:w="918"/>
        <w:gridCol w:w="918"/>
        <w:gridCol w:w="1125"/>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lastRenderedPageBreak/>
              <w:t>Broj edukacija službenika u čijem je djelokrugu provedba predmetne aktivnosti</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Upućivanjem  službenika na stručnu edukaciju doprinosi se jačanju kapaciteta i osiguranju podrške Ministarstva kako bi se Tehnička pomoć iz Norveškog financijskog instrumenta i financijskog instrumenta Europskog gospodarskog prostora što kvalitetnije provela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pohađanim edukacijama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A321075 OPERATIVNI PROGRAM ZA HRANU I OSNOVNU MATERIJALNU POMOĆ 2014.-2020. - TEHNIČKA POMOĆ</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Odluka Vlade Republike Hrvatske o tijelima u sustavu upravljanja, provedbe i kontrole korištenja Fonda europske pomoći za najpotrebitije u okviru Operativnog programa za hranu i/ili osnovnu materijalnu pomoć za razdoblje 2014.-2020., Pravilnik o prihvatljivosti izdataka u okviru Fonda europske pomoći za najpotrebitije (FEAD)</w:t>
      </w:r>
    </w:p>
    <w:tbl>
      <w:tblPr>
        <w:tblStyle w:val="StilTablice"/>
        <w:tblW w:w="10206" w:type="dxa"/>
        <w:jc w:val="center"/>
        <w:tblLook w:val="04A0" w:firstRow="1" w:lastRow="0" w:firstColumn="1" w:lastColumn="0" w:noHBand="0" w:noVBand="1"/>
      </w:tblPr>
      <w:tblGrid>
        <w:gridCol w:w="1480"/>
        <w:gridCol w:w="1568"/>
        <w:gridCol w:w="1553"/>
        <w:gridCol w:w="1545"/>
        <w:gridCol w:w="1545"/>
        <w:gridCol w:w="1545"/>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A321075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12.928</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29.979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3.982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13,3</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Osnovni je cilj ovog projekta jačanje kapaciteta i osiguranje podrške Ministarstvu financija za obavljanje funkcija utvrđenih u članku 6. Odluke.Sredstva se planiraju za financiranje plaća i edukacije djelatnika koje uključuje učinkovito provođenje funkcija Tijela za ovjeravanje kao i za troškove službenih putovanja te intelektualnih usluga. Planirana sredstava u 2023. godini odnose se na troškove edukacija i službenih putovanja.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6"/>
        <w:gridCol w:w="2245"/>
        <w:gridCol w:w="918"/>
        <w:gridCol w:w="918"/>
        <w:gridCol w:w="1125"/>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edukacija službenika zaduženih za obavljanje poslova vezanih uz Operativni program za hranu i osnovnu materijalnu pomoć 2014. – 2020.</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Upućivanjem  službenika zaduženih za obavljanje poslova vezanih uz Operativni program za hranu i osnovnu materijalnu pomoć 2014. – 2020 na stručnu edukaciju doprinosi se jačanju kapaciteta i osiguranju podrške Ministarstva financija za obavljanje funkcija utvrđenih u čl. 6. Odluke Vlade</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pohađanim edukacijama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lastRenderedPageBreak/>
        <w:t>A321078 TEHNIČKA POMOĆ - FOND ZA UNUTARNJU SIGURNOST, INSTRUMENT ZA FINANCIJSKU POTPORU U PODRUČJU VANJSKIH GRANICA I VIZA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Sporazum o izravnoj dodjeli financijskih sredstava za provedbu projekta "Tehnička pomoć za delegirano tijelo- Ministarstvo financija" u okviru Fonda za azil, migracije i integraciju i Fonda za unutarnju sigurnost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Odluka o dodjeli financijskih sredstava za provedbu projekta "Tehnička pomoć za delegirano tijelo - Ministarstvo financija" u okviru Fonda za azil, migracije i integraciju i Fonda za unutarnju sigurnost</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A321078</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18.215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18.535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19.656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19.656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19.656</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106,0</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Zadaće delegiranog tijela definirane su Sporazumom o prenošenju dijela zadaća odgovornom tijelu, potpisanim između ministra financija i čelnika odgovornog tijela. Sporazum predviđa korištenje tehničke pomoći za jačanje kapaciteta delegiranog tijela za provedbu Fonda za azil, migracije i integraciju i Fonda za unutarnju sigurnost. Tehnička pomoć za provedbu fondova AMIF i ISF može se financirati iz fondova u iznosu do 100% opravdanih troškova. U okviru aktivnosti TEHNIČKA POMOĆ - FOND ZA UNUTARNJU SIGURNOST, INSTRUMENT ZAFINANCIJSKU POTPORU U PODRUČJU VANJSKIH GRANICA I VIZA financirat će se 42,80% ukupnih troškova tehničke pomoći.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Sredstva će se koristiti za osiguranje preduvjeta  za kvalitetno i efikasno izvršavanje zadaća delegiranog tijela u sustavu upravljanja i kontrole Fonda za azil, migracije i integraciju i Fonda za unutarnju sigurnost. Kroz aktivnost pružit će se potpora osiguravanju adekvatnog broja zaposlenika za obavljanje poslova delegiranog tijela, prvenstveno kroz financiranje troškova plaća zaposlenika i ostalih rashoda za zaposlene. Sredstva su u istom omjeru planirana za 2023., 2024. i 2025. godinu. 98,72% od ukupnog iznosa odnosi se na rashode za zaposlene, a 1,28% se odnosi na materijalne rashode.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Pojačat će se i osnažiti administrativni kapaciteti kroz izobrazbu i daljnji profesionalni razvoj u relevantnim područjima, na način da će se financirati izobrazba i profesionalni razvoj zaposlenika.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sastanaka EU institucija na kojima su sudjelovali zaposlenici Ministarstva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Godišnje sudjelovanje  zaposlenika na barem jednom sastanku u EU institucijama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Godišnji izvještaj o provedbi projekta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A538000 ADMINISTRACIJA I UPRAVLJANJE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Zakon o sustavu državne uprave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Uredba o unutarnjem ustrojstvu Ministarstva financija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lastRenderedPageBreak/>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A538000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12.019.035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15.028.212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18.427.736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19.393.429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19.645.602</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122,6</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Na ovoj su aktivnosti planirani rashodi neophodni za obavljanje redovne djelatnosti Ministarstva financija, a obuhvaćaju rashode za zaposlene, materijalne rashode i financijske rashode. U 2023. godini udio rashoda za zaposlene u ukupnim rashodima po svim izvorima iznosi 69,92%, materijalnih rashoda 30,04%, financijskih rashoda 0,05%. U 2024. godini udio rashoda za zaposlene u ukupnim rashodima iznosi 68,09%, materijalnih rashoda 31,86%, financijskih rashoda 0,05%. U 2025. godini udio rashoda za zaposlene u ukupnim rashodima iznosi 68,77%, materijalnih rashoda 31,19%, financijskih rashoda 0,04%. Materijalni rashodi koji se financiraju iz ostalih izvora u 2023. godini iznose 0,81%, u 2024. godini 0,77% i u 2025. godini 0,76%. Pretežito se radi o rashodima financiranim iz vlastitih prihoda i prihoda pomoći Europske unije po osnovi povrata putnih troškova delegata Europskog vijeća i Vijeća EU. Unutar skupine materijalni rashodi najznačajniji udio od 51,75% odnosi se na tekuće i investicijsko održavanje građevinskih objekata, opreme i prijevoznih sredstava, nabavku licenci, rashode za računalne usluge te ostale usluge koje uključuju usluge čišćenja i čuvanja imovine. Izračun potrebnih sredstava temeljio se na postojećim povijesnim podacima o izvršenju pojedinih rashoda u prethodnim godinama kao i podacima o sklopljenim ugovorima iz kojih proizlaze obveze prema pružiteljima usluga u narednoj godini. Izračun rashoda za zaposlene temeljio se na planiranom broju zaposlenih i povećanju s osnove minulog rada.</w:t>
      </w: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A538074 TEHNIČKA POMOĆ -  FOND ZA AZIL, MIGRACIJE I INTEGRACIJE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Sporazum o izravnoj dodjeli financijskih sredstava za provedbu projekta "Tehnička pomoć za delegirano tijelo- Ministarstvo financija" u okviru Fonda za azil, migracije i integraciju i Fonda za unutarnju sigurnost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Odluka o dodjeli financijskih sredstava za provedbu projekta "Tehnička pomoć za delegirano tijelo - Ministarstvo financija" u okviru Fonda za azil, migracije i integraciju i Fonda za unutarnju sigurnost</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A538074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15.116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15.385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16.337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16.337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16.337</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106,2</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Zadaće delegiranog tijela definirane su Sporazumom o prenošenju dijela zadaća odgovornom tijelu, potpisanim između ministra financija i čelnika odgovornog tijela. Sporazum predviđa korištenje tehničke pomoći za jačanje kapaciteta delegiranog tijela za provedbu Fonda za azil, migracije i integraciju i Fonda za unutarnju sigurnost. Tehnička pomoć za provedbu fondova AMIF i ISF može se financirati iz fondova u iznosu do 100% opravdanih troškova. U okviru aktivnosti TEHNIČKA POMOĆ - FOND ZA AZIL, MIGRACIJE I INTEGRACIJE financirat će se 35,52% ukupnih troškova tehničke pomoći.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Sredstva će se koristiti za osiguranje preduvjeta  za kvalitetno i efikasno izvršavanje zadaća delegiranog tijela u sustavu upravljanja i kontrole Fonda za azil, migracije i integraciju i Fonda za unutarnju sigurnost. Kroz aktivnost pružit će se potpora osiguravanju adekvatnog broja zaposlenika za obavljanje poslova delegiranog tijela, prvenstveno kroz financiranje troškova plaća zaposlenika i ostalih rashoda za zaposlene. Sredstva su u istom omjeru planirana za 2023., 2024. i 2025. godinu. 98,70% od ukupnog iznosa odnosi se na rashode za zaposlene, a 1,30% se odnosi na materijalne rashode.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Pojačat će se i osnažiti administrativni kapaciteti kroz izobrazbu i daljnji profesionalni razvoj u relevantnim područjima, na način da će se financirati izobrazba i profesionalni razvoj zaposlenika.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održanih stručnih usavršavanja djelatnika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Stručnim usavršavanjem  osnažit će se i pojačati profesionalni razvoj zaposlenika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Polugodišnji izvještaj o provedbi projekta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A538077 TEHNIČKA POMOĆ-FOND ZA UNUTARNJU SIGURNOST, INSTRUMENT ZA FINANCIJSKU POTPORU U PODRUČJU POLICIJSKE SURADNJE, SPRJEČAVANJA I SUZBIJANJA KRIMINALA I UPRAVLJANJA KRIZAMA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Sporazum o izravnoj dodjeli financijskih sredstava za provedbu projekta "Tehnička pomoć za delegirano tijelo- Ministarstvo financija" u okviru Fonda za azil, migracije i integraciju i Fonda za unutarnju sigurnost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Odluka o dodjeli financijskih sredstava za provedbu projekta "Tehnička pomoć za delegirano tijelo - Ministarstvo financija" u okviru Fonda za azil, migracije i integraciju i Fonda za unutarnju sigurnost</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A538077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9.226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9.396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9.967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9.967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9.967</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106,1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Zadaće delegiranog tijela definirane su Sporazumom o prenošenju dijela zadaća odgovornom tijelu, potpisanim između ministra financija i čelnika odgovornog tijela. Sporazum predviđa korištenje tehničke pomoći za jačanje kapaciteta delegiranog tijela za provedbu Fonda za azil, migracije i integraciju i Fonda za unutarnju sigurnost. Tehnička pomoć za provedbu fondova AMIF i ISF može se financirati iz fondova u iznosu do 100% opravdanih troškova. U okviru aktivnosti TEHNIČKA POMOĆ-FOND ZA UNUTARNJU SIGURNOST, INSTRUMENT ZA FINANCIJSKI POTPORU U PODRUČJU POLICIJSKE SURADNJE, SPREČAVANJA I SUZBIJANJA KRIMINALA I UPRAVLJANJA KRIZAMA financirat će se 21,68% ukupnih troškova tehničke pomoći.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Sredstva će se koristiti za osiguranje preduvjeta  za kvalitetno i efikasno izvršavanje zadaća delegiranog tijela u sustavu upravljanja i kontrole Fonda za azil, migracije i integraciju i Fonda za unutarnju sigurnost. Kroz aktivnost pružit će se potpora osiguravanju adekvatnog broja zaposlenika za obavljanje poslova delegiranog tijela, prvenstveno kroz financiranje troškova plaća zaposlenika i ostalih rashoda za zaposlene. Sredstva su u istom omjeru planirana za 2023., 2024. i 2025. godinu. 98,67% od ukupnog iznosa odnosi se na rashode za zaposlene, a 1,33% se odnosi na materijalne rashode.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Pojačat će se i osnažiti administrativni kapaciteti kroz izobrazbu i daljnji profesionalni razvoj u relevantnim područjima, na način da će se financirati izobrazba i profesionalni razvoj zaposlenika.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stručnih usavršavanja iz EU fondova u inozemstvu i u Republici Hrvatskoj</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Pohađanjem stručnih usavršavanja od strane zaposlenika ministarstva financija povećat će se njihove kompetencije za upravljanje EU sredstvima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Polugodišnji izvještaj o provedbi projekta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K113290 RAZVOJ SUSTAVA DRŽAVNE RIZNICE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Zakon o proračunu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Zakon o izvršavanju državnog proračuna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K113290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1.427.288</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1.924.481</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2.442.100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2.641.184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2.641.184</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126,9</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1.</w:t>
      </w:r>
      <w:r w:rsidRPr="00D10959">
        <w:rPr>
          <w:rFonts w:ascii="Times New Roman" w:eastAsia="Times New Roman" w:hAnsi="Times New Roman" w:cs="Times New Roman"/>
          <w:szCs w:val="20"/>
          <w:lang w:val="sl-SI"/>
        </w:rPr>
        <w:tab/>
        <w:t xml:space="preserve">Povezivanje informacijskih sustava za upravljanje financijama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U 2022. godini nastavit će se povezivanje informacijskih sustava za upravljanje financijama proračunskih korisnika sa središnjim informacijskim sustavom državne riznice. Povezivanjem lokalnih FMIS sustava sa SAP sustavom Državne riznice omogućuje se razmjena elektroničkih dokumenata (najave obaveza, ugovori, narudžbenice, fakture) između sučeljenih sustava s ciljem unapređenja sustavne kontrole i transparentnosti u stvaranju proračunskih obveza kroz informacijski sustav. Do sada integriran je 33 proračunski korisnik. Također, u narednom razdoblju nastavit će se rad na unapređenju platnog prometa s inozemstvom koji se odvija putem sustava državne riznice integriranog s Hrvatskom narodnom bankom.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Temeljem procijenjenih vrijednosti javne nabave do kojih se dolazi dijelom iskustveno metodom a dijelom istraživanjem tržišta kada i gdje je potrebno, u trogodišnjem razdoblju planirano je 27% ukupnog iznosa za planove pojedinih godina. U procjenu je uključeno i tekuće održavanje sustava za povezivanje.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2.Unaprijeđenje procesa evidentiranja stanja računa korisnika. U 2023. će se prikupljati podaci za 2022. još uvijek u kunama, ali 2024. treba aplikaciju prilagoditi za prikupljanje podataka od 2023. na dalje u eurima.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3.Potrebno je izvršiti završnu konverziju SAP R/3 sustava na euro, nakon knjigovodstvenog kraja godine početkom 2023.</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149"/>
        <w:gridCol w:w="2178"/>
        <w:gridCol w:w="1081"/>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tijela uključenih u jedinstveni informacijski sustav financijskog upravljanja (FMIS)</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tijela uključenih u jedinstveni informacijski sustav financijskog upravljanja (FMIS)</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36</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 - Državna riznica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39</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46</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Unaprijeđenje procesa evidentianja stanja računa korisnika proračuna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Prilagoditi za valutu Euro za izvještaje u 2023 godini</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Vrijeme potrebno za prikupljanje i obradu podataka.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 - Državna riznica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 sustav</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Prilagodba inforamtičkih sustava Državne riznice za prelazak na valutu Euro</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Konverzija valute u SAPu nakon knjigovodstvenog kraja godine</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SAP R/3</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 - Državna riznica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 sustav</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K253049 PROJEKT SUSTAVA JAVNOG DUGA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Vlada Republike Hrvatske je na sjednici 6. lipnja 2019. godine prihvatila Strategiju upravljanja javnim dugom za razdoblje 2019.-2021.</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K253049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95.036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199.084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862.698</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418.077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431.349</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433,3</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U svrhu unapređenja upravljanja javnim dugom, uz tehničku i financijsku pomoć Svjetske banke, Međunarodnog monetarnog fonda te EU u sklopu programa CARDS 2002 „Potpora Ministarstvu financija Republike Hrvatske u upravljanju javnim dugom“, 2006. godine nabavljen je informatički sustav za upravljanje javnim dugom, kojega je potrebno redovito održavati.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Također je potrebno razviti i implementirati novi računalni program koji će zamijeniti postojeći jer je jedinstven i siguran informacijski sustav za evidentiranje podataka o dugu nužan za učinkovito upravljanje javnim dugom i razvijanje strategije upravljanja dugom baziranoj na analizi  troškova i rizika.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Uz razvoj nove i održavanje postojeće informatičke infrastrukture, sredstva će se koristiti za plaćanje troškova korištenja platforme za provođenje elektronskih aukcija vrijednosnih papira -  Bloomberg aukcijski sustav te za korištenje sustava Reuters.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Za navedene troškove u 2023. godini planirano je 30,77% ukupnih rashoda, u 2024. godini 52,39% i u 2025. godini 53,85% ukupnih rashoda. U 2023. na implementaciju računalnog programa odnosi se 69,23% ukupnih rashoda, u 2024. 47,62% ukupnih rashoda a u 2025. godini  46,16% ukupnih rashoda. Izračun troškova temeljio se na  povijesnim podacima te procjeni sa usporedivim informacijskim sustavima.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Postotak razvijenosti novog računalnog programa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Kontinuiranim održavanjem i razvijanjem novog računalnog programa unaprijediti će se sustav za upravljanje javnim dugom</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Izvještaj o provedbi projekta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K253057 OPREMANJE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Zakon o sustavu državne uprave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K253057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24.305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321.853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245.537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172.539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172.539</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76,3</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Na ovoj aktivnosti planirani su rashodi za nabavku nefinancijske imovine neophodne za obavljanje redovne djelatnosti Ministarstva financija.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Od ukupno planiranog iznosa iz izvora financiranja opći prihodi i primici u 2023. godini 37,84% odnosi se na kupnju novog, odnosno zamjenu dotrajalog uredskog namještaja i komunikacijske opreme te  62,16% sredstava za nabavu novog prijevoznog sredstva i dodatnog ulaganja na građevinskom objektu.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Izračun potrebnih sredstava temelji se na povijesnim podacima te procjeni potrebne količine opreme rukovodeći se prosječnim tržišnim cijenama.</w:t>
      </w: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K321070 OP UČINKOVITI LJUDSKI POTENCIJALI 2014.-2020.- TEHNIČKA POMOĆ</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Uredba o tijelima u Sustavima upravljanja i kontrole korištenja Europskog socijalnog fonda, Europskog fonda za regionalni razvoj i Kohezijskog fonda u vezi s ciljem „Ulaganje za rast i radna mjesta“</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K321070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374.593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152.864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517.876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338,8</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Osnovni je cilj ovog projekta jačanje kapaciteta i osiguranje podrške Ministarstvu financija za obavljanje funkcija utvrđenih u članku 3. Uredbe o tijelima u Sustavima upravljanja i kontrole korištenja Europskog socijalnog fonda, Europskog fonda za regionalni razvoj i Kohezijskog fonda u vezi s ciljem „Ulaganje za rast i radna mjesta“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Ova aktivnost sastoji se od tri podprojekta: MF Tehnička pomoć OPULJP, faza I, Uspostava učinkovitog sustava ocjene i odobravanja investicijskih projekata koji se financiraju ili sufinanciraju sredstvima državnog proračuna i proračuna JLPRS i Jačanje sustava fiskalne odgovornosti i sustava unutarnjih kontrola. Sva tri podprojekta financirana su temeljem sklopljenih ugovora o dodjeli bespovratnih sredstava iz Operativnog programa Učinkoviti ljudski potencijali te završavaju u 2023.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Podprojektom „MF Tehnička pomoć OPULJP, faza I, se financiraju plaće i druga materijalna prava za ukupno 8 djelatnika Ministarstva financija, edukacije i treninzi, specijalizirani tečajevi osposobljavanja, troškovi putovanja u zemlji i inozemstvu, troškovi nabave opreme te troškovi usluga. Najveći udio planiranih sredstava u 2023 godini (50,00%) odnosi se na troškove edukacija te 50% na troškove službenih putovanja.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Podprojektom  „Jačanje sustava fiskalne odgovornosti i sustava unutarnjih kontrola„ se financira nabava integriranog IT sustava za podršku i upravljanje cjelovitim sustavom fiskalne odgovornosti i unutarnjih kontrola u javnom sektoru RH, plaće članova projektnog tima, izobrazba za 700 zaposlenih u institucijama obveznicima podnošenja Izjave o fiskalnoj odgovornosti, usluge  vanjskih stručnjaka te nabava prijenosnih računala. Najveći udio planiranih sredstava (74%) odnosi se na nabavu integriranog IT sustava za podršku i upravljanje cjelovitim sustavom fiskalne odgovornosti i unutarnjih kontrola u javnom sektoru RH.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Podprojektom „Uspostava učinkovitog sustava ocjene i odobravanja investicijskih projekata koji se financiraju ili sufinanciraju sredstvima državnog proračuna i proračuna jedinica lokalne i područne (regionalne) samouprave“ se financira izrada pravnog okvira (Uredba o načinu ocjene i postupku odobravanja investicijskih projekata i uputa za obveznike primjene), edukacija službenika ministarstva i obveznika primjene uredbe. te izrada . Najveći dio planiranih sredstava (55%) odnosi se na službena putovanja te troškove plaća (24%).</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125"/>
        <w:gridCol w:w="2102"/>
        <w:gridCol w:w="897"/>
        <w:gridCol w:w="917"/>
        <w:gridCol w:w="1414"/>
        <w:gridCol w:w="917"/>
        <w:gridCol w:w="917"/>
        <w:gridCol w:w="91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edukacija službenika zaduženih za obavljanje poslova vezanih uz Operativni program Učinkoviti ljudski potencijali 2014-2020.</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Pohađanjem stručnih usavršavanja od strane zaposlenika Ministarstva financija povećat će se njihove kompetencije za upravljanje EU fondovima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pohađanim edukacijama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podržanih tijela za poboljšanje organizacije rada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Razvoj IT sustava za zaprimanje, analizu i obradu podataka iz izjava o fiskalnoj odgovornosti i podataka vezanih uz funkciju unutarnje revizije doprinijet će bržoj i ujednačenijoj obradi podataka, a samim time i smanjenju vremena u obradi podataka Ministarstva financija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Potvrde o  osposobljavanju za primjenu IT sustava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zaposlenih u javnoj upravi koji su završili program osposobljavanja za primjenu IT sustava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Kroz obuku svih institucija koje su obvezne dostavljati Izjavu o fiskalnoj odgovornosti Ministarstvu financija, doprinijet će se kvalitenijoj obradi podataka od strane Ministarstva financija ali i ostalih djelatnika u javnoj upravi</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Potvrde o  osposobljavanju za primjenu IT sustava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400</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edukacija službenika ministarstva i obveznika primjene uredbe o načinu ocjene i postupku odobravanja investicijskih projekata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Pohađanjem edukacija i treninga za djelatnike ministarstva, obveznika primjene uredbe o načinu ocjene i postupku odobravanja investicijskih projekata povećat će se njihove kompetencije.</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pohađanim edukacijama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1000</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K321071 OP KONKURENTNOST I KOHEZIJA 2014.-2020. TEHNIČKA POMOĆ</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Uredba o tijelima u Sustavima upravljanja i kontrole korištenja Europskog socijalnog fonda, Europskog fonda za regionalni razvoj i Kohezijskog fonda u vezi s ciljem „Ulaganje za rast i radna mjesta“</w:t>
      </w:r>
    </w:p>
    <w:tbl>
      <w:tblPr>
        <w:tblStyle w:val="StilTablice"/>
        <w:tblW w:w="10206" w:type="dxa"/>
        <w:jc w:val="center"/>
        <w:tblLook w:val="04A0" w:firstRow="1" w:lastRow="0" w:firstColumn="1" w:lastColumn="0" w:noHBand="0" w:noVBand="1"/>
      </w:tblPr>
      <w:tblGrid>
        <w:gridCol w:w="1477"/>
        <w:gridCol w:w="1567"/>
        <w:gridCol w:w="1560"/>
        <w:gridCol w:w="1544"/>
        <w:gridCol w:w="1544"/>
        <w:gridCol w:w="1544"/>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K321071</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802.943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249.183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5.309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00</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Osnovni je cilj ovog projekta,  temeljem ugovora o dodjeli bespovratnih sredstva iz Operativnog programa Konkurentnost i kohezija 2014-2020., je jačanje kapaciteta i osiguranje podrške Ministarstva financija za obavljanje funkcija utvrđenih u članku 3. Uredbe o tijelima u Sustavima upravljanja i kontrole korištenja Europskog socijalnog fonda, Europskog fonda za regionalni razvoj i Kohezijskog fonda u vezi s ciljem „Ulaganje za rast i radna mjesta“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U 2023. godini Aktivnost uključuje stručno usavršavanje službenika putem edukacija, treninga, seminara i dodatne formalne izobrazbe, sudjelovanje službenika na sastancima, službenim putovanjima  koji čine najveći udio od 75,00% u ukupno  planiranim sredstvima.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19"/>
        <w:gridCol w:w="2220"/>
        <w:gridCol w:w="914"/>
        <w:gridCol w:w="918"/>
        <w:gridCol w:w="1181"/>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organiziranih stručnih savjetovanja i obuka koji su vezani uz pravilnu provedbu programa i fondova Europske unije i drugih fondova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Upućivanjem službenika na stručna savjetovanja i obuke doprinosi se uspješnijoj provedbi programa i fondova EU od strane njihovih korisnika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organiziranoj izobrazbi</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K321077 RAZVOJ I JAČANJE INFORMACIJSKOG SUSTAVA UREDA ZA SPRJEČAVANJE PRANJA NOVCA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w:t>
      </w:r>
      <w:r w:rsidRPr="00D10959">
        <w:rPr>
          <w:rFonts w:ascii="Times New Roman" w:eastAsia="Times New Roman" w:hAnsi="Times New Roman" w:cs="Times New Roman"/>
          <w:szCs w:val="20"/>
          <w:lang w:val="sl-SI"/>
        </w:rPr>
        <w:tab/>
        <w:t xml:space="preserve">Zakon o sprječavanju pranja novca i financiranja terorizma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w:t>
      </w:r>
      <w:r w:rsidRPr="00D10959">
        <w:rPr>
          <w:rFonts w:ascii="Times New Roman" w:eastAsia="Times New Roman" w:hAnsi="Times New Roman" w:cs="Times New Roman"/>
          <w:szCs w:val="20"/>
          <w:lang w:val="sl-SI"/>
        </w:rPr>
        <w:tab/>
        <w:t xml:space="preserve">Pravilnik o Registru stvarnih vlasnika (NN 53/19)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w:t>
      </w:r>
      <w:r w:rsidRPr="00D10959">
        <w:rPr>
          <w:rFonts w:ascii="Times New Roman" w:eastAsia="Times New Roman" w:hAnsi="Times New Roman" w:cs="Times New Roman"/>
          <w:szCs w:val="20"/>
          <w:lang w:val="sl-SI"/>
        </w:rPr>
        <w:tab/>
        <w:t xml:space="preserve">Direktiva (EU) 2015/849 od 20. svibnja 2015. o sprječavanju korištenja financijskoga sustava u svrhu pranja novca i financiranja terorizma, izmijenjene i dopunjene Direktivom (EU) 2018/843 od 30. svibnja 2018.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w:t>
      </w:r>
      <w:r w:rsidRPr="00D10959">
        <w:rPr>
          <w:rFonts w:ascii="Times New Roman" w:eastAsia="Times New Roman" w:hAnsi="Times New Roman" w:cs="Times New Roman"/>
          <w:szCs w:val="20"/>
          <w:lang w:val="sl-SI"/>
        </w:rPr>
        <w:tab/>
        <w:t xml:space="preserve">Direktiva (EU) 2018/843 Europskoga parlamenta i Vijeća od 30. svibnja 2018. o izmjeni Direktive (EU) 2015/849 o sprečavanju korištenja financijskog sustava u svrhu pranja novca ili financiranja terorizma i o izmjeni direktiva 2009/138/EZ i 2013/36/EU (u daljnjem tekstu: Direktiva 2018/843)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Akcijski plan za jačanje učinkovitosti hrvatskog sustava sprječavanja pranja novca i financiranje terorizma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K321077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161.354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245.537</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309.510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309.510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309.510</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126,1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Na ovoj aktivnosti planiraju se sredstva za usluge održavanja računalnih baza, informatičke opreme i licenci koje koristi Ured za sprječavanje pranja novca te za razvoj novih funkcionalnosti i nadogradnja postojećih funkcionalnosti informacijskog sustava Ureda za sprječavanje pranja novca  i Registra stvarnih vlasnika. Planirane su dorade na aplikativnom sustavu za elektroničko prikupljanje podataka o sumnjivim i gotovinskim transakcijama radi prilagodbe novoj zakonskoj regulativi, dorade na analitičkom sustavu radi automatiziranije obrade transakcija i osoba te dorada na aplikativnom sustavu Registra stvarnih vlasnika radi osiguranja pravodobnog otkrivanja i registracije promjena informacija o stvarnim vlasnicima u Registru stvarnih vlasnika te povezivanja Registra stvarnih vlasnika s registrima stvanrih vlasnika iz drugih država članica putem europske središnje platforme. U aktivnosti vezane za povezivanje registra uključeni su Ured i Financijska agencija koja operativno vodi Registar. Sredstva su u istom omjeru planirana za 2023., 2024. i 2025 godinu ( za usluge održavanja računalnih baza 12,86% od planiranih sredstava, za usluge održavanja informatičke opreme i licenci 55,75% od planiranih sredstava, za razvoj novih funkcionalnosti i nadogradnja postojećih funkcionalnosti informacijskog sustava Ureda za sprječavanje pranja novca i Registra stvarnih vlasnika 31,39% od planiranih sredstava).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Dorada i nadogradnja aplikativnih sustava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Doradom i nadogradnjom aplikativinih sustava osigurati će se pravodobno otkrivanje i registracije promjena informacija o stvarnim vlasnicima te povezivanje Registra stvarnih vlasnika s registrima stvarnih vlasnika iz drugih država članica putem europske središnje platforme kao i smanjenje mogućnosti zloupotrebe pravnih subjekata za prikrivanje identiteta stvarnih vlasnika kao eventualnih počinitelja kaznenih djela pranja novca, uključujući i porezne prijevare te sprječavanje financiranja terorizma.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0</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Izvješće o uspostavi sustava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2</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K538003 INFORMATIZACIJA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Zakon o sustavu državne uprave</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K538003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256.250</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873.834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1.081.692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1.008.695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1.008.695</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123,8</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Na ovoj su aktivnosti planirana sredstva za nabavu informatičke opreme neophodne za obavljanje redovne djelatnosti Ministarstva financija, s učešćem u ukupnim rashodima od 24,54% u 2023. godini, 26,32% u 2024. i 26,32% u 2025. godini. Udio rashoda za ulaganja u računalne programe iznosi 55,22% u 2023. godini, 59,21% u 2024. godini i 59,21% u 2025 godini. Navedena ulaganja odnose se na sredstva za nadogradnju postojećeg  Registra šteta od elementarnih nepogoda i Registar državnih potpora , sredstva za usluge prilagodbe, uspostave i udomljavanja programske opreme za sustav e- Nadzor i e-Prekršaji za potrebe Financijskog inspektorata te  sredstva za razvoj i implementaciju novih funkcionalnosti informacijskog sustava Sektora za financije i računovodstvo i usluge dodatnog razvoja sustava Ministarstva financija te prilagodbe zahtjevima EU informacijskog sustava koje provodi Zavod za makroekonomske i fiskalne analize i projekcije. Iznos potrebnih sredstava bazira se na povijesnim podacima i sklopljenim ugovorima s pružateljima usluga iz kojih proizlaze financijske obveze.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Arial"/>
          <w:b/>
          <w:iCs/>
          <w:spacing w:val="20"/>
          <w:sz w:val="28"/>
          <w:szCs w:val="28"/>
          <w:lang w:val="sl-SI"/>
        </w:rPr>
      </w:pPr>
      <w:r w:rsidRPr="00D10959">
        <w:rPr>
          <w:rFonts w:ascii="Times New Roman" w:eastAsia="Times New Roman" w:hAnsi="Times New Roman" w:cs="Times New Roman"/>
          <w:b/>
          <w:iCs/>
          <w:spacing w:val="20"/>
          <w:sz w:val="28"/>
          <w:szCs w:val="28"/>
          <w:lang w:val="sl-SI"/>
        </w:rPr>
        <w:t>2207 DJELATNOST CARINSKOG I POREZNOG SUSTAVA</w:t>
      </w:r>
    </w:p>
    <w:tbl>
      <w:tblPr>
        <w:tblStyle w:val="StilTablice"/>
        <w:tblW w:w="10206" w:type="dxa"/>
        <w:jc w:val="center"/>
        <w:tblLook w:val="04A0" w:firstRow="1" w:lastRow="0" w:firstColumn="1" w:lastColumn="0" w:noHBand="0" w:noVBand="1"/>
      </w:tblPr>
      <w:tblGrid>
        <w:gridCol w:w="1423"/>
        <w:gridCol w:w="1556"/>
        <w:gridCol w:w="1556"/>
        <w:gridCol w:w="1567"/>
        <w:gridCol w:w="1567"/>
        <w:gridCol w:w="1567"/>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2207</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6.834.597</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9.623.399</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16.055.478</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14.206.649</w:t>
            </w:r>
          </w:p>
        </w:tc>
        <w:tc>
          <w:tcPr>
            <w:tcW w:w="1632"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14.538.457</w:t>
            </w:r>
          </w:p>
        </w:tc>
        <w:tc>
          <w:tcPr>
            <w:tcW w:w="510" w:type="dxa"/>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166,8</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Unutar programa Djelatnost carinskog i poreznog sustava obavljaju se poslovi izgradnje i održavanja graničnih prijelaza. Program se sastoji od aktivnosti i dva projekta: A538035 Održavanje graničnih prijelaza; K538036 Opremanje i K538043 Izgradnja graničnih prijelaza. Unutar programa planirani su rashodi potrebni za kvalitetno obavljanje redovnih aktivnosti na graničnim prijelazima s ciljem osiguranja uvjeta za rad svih graničnih službi; rashodi za nabavu nefinancijske imovine neophodne za redovno obavljanje poslova na graničnim prijelazima te rashodi za investicije vezane uz poslove izgradnje novih graničnih prijelaza ili dovršetak započetih.</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Cilj 1. Uspostaviti i održavati kvalitetan granični promet sa susjednim državama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učinka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učinka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Završiti izgradnju graničnih prijelaza sukladno odluci Vlade RH o strategiji integriranog upravljanja granicom i Akcijskom planu za provedbu sustava upravljanja i kontrole za Schengenski režim te kontinuirano provoditi investicijsko i tekuće održavanje i opremanje graničnih prijelaza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Izgradnjom, opremanjem i održavanjem graničnih prijelaza osiguravaju se optimalni uvjeti za rad graničnih službi carine i policije u obavljanju kontrole putnika i roba granicom republike Hrvatske odnosno vanjskom granicom Europske unije čime se pridonosi učinkovitom i neprekidnom radu graničnih službi.</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A538035 ODRŽAVANJE GRANIČNIH PRIJELAZA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Odluka o upravljanju imovinom na graničnim prijelazima</w:t>
      </w:r>
    </w:p>
    <w:tbl>
      <w:tblPr>
        <w:tblStyle w:val="StilTablice"/>
        <w:tblW w:w="10206" w:type="dxa"/>
        <w:jc w:val="center"/>
        <w:tblLook w:val="04A0" w:firstRow="1" w:lastRow="0" w:firstColumn="1" w:lastColumn="0" w:noHBand="0" w:noVBand="1"/>
      </w:tblPr>
      <w:tblGrid>
        <w:gridCol w:w="1458"/>
        <w:gridCol w:w="1549"/>
        <w:gridCol w:w="1549"/>
        <w:gridCol w:w="1560"/>
        <w:gridCol w:w="1560"/>
        <w:gridCol w:w="1560"/>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A538035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5.915.899</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7.745.371</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10.414.758</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10.729.312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10.729.312</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134,5</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Ukupno iskazani rashodi na ovoj aktivnosti odnose se u 2023. na materijalne rashode neophodne za kontinuirano i kvalitetno obavljanje redovne djelatnosti na graničnim prijelazima a odnose se na uredski materijal i ostale materijalne rashode s učešćem od 1,78% u ukupnim rashodima, rashodi za energiju s učešćem od 34,76%, usluge telefona, pošte i prijevoza s učešćem od 1,02%, rashodi za usluge tekućeg i investicijskog održavanja građevinskih objekata, opreme i prijevoznih sredstava  u iznosu 25,48%, rashodi za komunalne usluge od 5,73%, rashodi za zakupnine i najamnine  s učešćem od 0,64% i ostale usluge koje se pretežito odnose na usluge čišćenja poslovnih prostora s učešćem od 30,59% u ukupnim rashodima. Iskazani rashodi odnose se na rashode za 171 granični prijelaz a izračun potrebnih sredstava temeljio se na povijesnim podacima o izvršenju rashoda u prethodnim godinama što se prvenstveno odnosi na režijske troškove koji se u pravilu iskazuju u kontinuiranim mjesečnim iznosima tijekom godine te podaci temeljem sklopljenih ugovora s pružateljima radova i usluga iz kojih proizlaze financijske obveze. U 2024. i 2025. godini učešća pojedinih vrsta materijalnih rashoda u ukupnim rashodima  ne odstupaju značajnije od iskazanih vrijednosti za 2023. godinu.</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K538036 OPREMANJE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Odluka o upravljanju imovinom na graničnim prijelazima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Strategija integriranog upravljanja granicom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K538036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226.973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265.446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265.446</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199.084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199.084</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100,0</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Na ovom projektu planirana su sredstva za nabavu nefinancijske imovine neophodne za redovno obavljanje poslova na graničnim prijelazima. Izgradnjom i puštanjem u funkciju novih graničnih prijelaza, iste je potrebno kompletno opremiti navedenom opremom. Radi se o 171 graničnom prijelazu, a s obzirom na prirodu obavljanja redovnih djelatnosti na graničnim prijelazima, uredska oprema je u stvarnoj funkciji 24 sata uslijed čega je potrebna i češća obnova navedene imovine. Od ukupno planiranih sredstava  u 2023. godini na zamjenu i nabavu novog uredskog namještaja i opreme odnosi se 50,00%, 33,34% u 2024. godini i 33,34% u 2025. ukupnih sredstava sredstava dok se preostali dio u navedenom trogodišnjem razdoblju odnosi na nabavu opreme za održavanje i zaštitu. Izračun potrebnih sredstava temeljio se na procjeni količine i procijenjene tržišne cijene u svrhu zamjene za dotrajalu opremu odnosno nabavke nove opreme.</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Nefinancijska imovina koja je nabavljena i stavljena u funkciju</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Nabavom potrebne nefinancijske imovine pridonosi se poboljšanju kvalitete rada u obavljanju redovnnih djelatnosti na graničnim prijelazima.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171</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sz w:val="28"/>
          <w:szCs w:val="28"/>
          <w:lang w:val="sl-SI"/>
        </w:rPr>
      </w:pPr>
      <w:r w:rsidRPr="00D10959">
        <w:rPr>
          <w:rFonts w:ascii="Times New Roman" w:eastAsia="Times New Roman" w:hAnsi="Times New Roman" w:cs="Times New Roman"/>
          <w:b/>
          <w:bCs/>
          <w:sz w:val="28"/>
          <w:szCs w:val="28"/>
          <w:lang w:val="sl-SI"/>
        </w:rPr>
        <w:t>K538043 IZGRADNJA GRANIČNIH PRIJELAZA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Zakonske i druge pravne osnove</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Odluka o upravljanju imovinom na graničnim prijelazima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Strategija integriranog upravljanja granicom</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D10959" w:rsidRPr="00D10959" w:rsidTr="00452120">
        <w:trPr>
          <w:jc w:val="center"/>
        </w:trPr>
        <w:tc>
          <w:tcPr>
            <w:tcW w:w="153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Naziv aktivnosti</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Izvršenje 2021.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2022.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2023.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2024. (eur)</w:t>
            </w:r>
          </w:p>
        </w:tc>
        <w:tc>
          <w:tcPr>
            <w:tcW w:w="1632"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Plan 2025. (eur)</w:t>
            </w:r>
          </w:p>
        </w:tc>
        <w:tc>
          <w:tcPr>
            <w:tcW w:w="510"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Indeks 2023/2022</w:t>
            </w:r>
          </w:p>
        </w:tc>
      </w:tr>
      <w:tr w:rsidR="00D10959" w:rsidRPr="00D10959" w:rsidTr="00452120">
        <w:trPr>
          <w:jc w:val="center"/>
        </w:trPr>
        <w:tc>
          <w:tcPr>
            <w:tcW w:w="1530"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K538043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691.725</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1.612.582</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5.375.274</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3.278.253</w:t>
            </w:r>
          </w:p>
        </w:tc>
        <w:tc>
          <w:tcPr>
            <w:tcW w:w="1632"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3.610.061</w:t>
            </w:r>
          </w:p>
        </w:tc>
        <w:tc>
          <w:tcPr>
            <w:tcW w:w="510" w:type="dxa"/>
            <w:vAlign w:val="top"/>
          </w:tcPr>
          <w:p w:rsidR="00D10959" w:rsidRPr="00D10959" w:rsidRDefault="00D10959" w:rsidP="00D10959">
            <w:pPr>
              <w:overflowPunct w:val="0"/>
              <w:autoSpaceDE w:val="0"/>
              <w:autoSpaceDN w:val="0"/>
              <w:adjustRightInd w:val="0"/>
              <w:jc w:val="right"/>
              <w:textAlignment w:val="baseline"/>
              <w:rPr>
                <w:rFonts w:eastAsia="Times New Roman" w:cs="Times New Roman"/>
                <w:szCs w:val="20"/>
                <w:lang w:val="sl-SI"/>
              </w:rPr>
            </w:pPr>
            <w:r w:rsidRPr="00D10959">
              <w:rPr>
                <w:rFonts w:eastAsia="Times New Roman" w:cs="Times New Roman"/>
                <w:szCs w:val="20"/>
                <w:lang w:val="sl-SI"/>
              </w:rPr>
              <w:t>333,3</w:t>
            </w:r>
          </w:p>
        </w:tc>
      </w:tr>
    </w:tbl>
    <w:p w:rsidR="00D10959" w:rsidRPr="00D10959" w:rsidRDefault="00D10959" w:rsidP="00D10959">
      <w:pPr>
        <w:overflowPunct w:val="0"/>
        <w:autoSpaceDE w:val="0"/>
        <w:autoSpaceDN w:val="0"/>
        <w:adjustRightInd w:val="0"/>
        <w:spacing w:after="120" w:line="240" w:lineRule="auto"/>
        <w:textAlignment w:val="baseline"/>
        <w:rPr>
          <w:rFonts w:ascii="Times New Roman" w:eastAsia="Times New Roman" w:hAnsi="Times New Roman" w:cs="Times New Roman"/>
          <w:szCs w:val="20"/>
          <w:lang w:val="sl-SI"/>
        </w:rPr>
      </w:pP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Sukladno Odluci Vlade RH o Strategiji integriranog upravljanja granicom temeljem koje je donesen Akcijski plan za provedbu sustava upravljanja i kontrole za Schengenski režim, Republika Hrvatska je u obvezi izgraditi četrdeset graničnih prijelaza kao preduvjet za početak uvođenja Schengenskog režima na vanjskoj granici Republike Hrvatske prema Srbiji, Bosni i Hercegovini i Crnoj Gori. Do sada su završeni radovi na 35 graničnih prijelaza i to: Kamensko, Ilok, Gunja, Tovarnik, Svilaj, Kordunski Ljeskovac, Aržano, Bogovolja, Aržano Pazar, Dvorine, Vukov Klanac, Cera, Pašin Potok, Lička Kaldrma, Mali Prolog, Užljebić, Slavonski Brod, Metković, Podprolog, Bili Brig, Hrvatska Kostajnica, Orah, Vinjani Donji, Gejkovac, Imotica, Čepikuće, Slano, Županja, Slivno, Vinjani Gornji, Vitaljina, Gornji Brgat, Dvor, Svilaj i Sebišina.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U 2023. započeti će radovi na izgradnji graničnih prijelaza Gabela Polje na koje se odnosi 18,50% ukupnih rashoda, početak izgradnje novog graničnog prijelaza kod Stare Gradiške s udjelom od 74,08% u ukupnim rashodima. Na rekonstrukciju odvodnje oborinskih voda na graničnom prijelazu Karasovići odnosi se 6,18% ukupnih rashoda a na izradu projektne dokumentacije i ishođenje odobrenja za građenje pristupnog puta za poljoprivredno zemljište na graničnom prijelazu Vitaljina odnosi se 0,50% ukupnih rashoda. Pored toga, planirana je i isplata naknada za nekretnine u postupcima dovršavanja rješavanja imovinsko-pravnih odnosa za granične prijelaze Gabela Polje, Karasovići i Zaton Doli sa učešćem u ukupnim rashodima od 0,74%.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U 2024. započeti će radovi rekonstrukciji graničnog prijelaza Tovarnik na koje se odnosi 36,44% ukupnih rashoda, rekonstrukciji graničnog prijelaza Bajakovo od 40,49% ukupnih rashoda te  dovršetak izgradnje novog graničnog prijelaza kod Stare Gradiške s udjelom od 20,25% u ukupnim rashodima. Na izradu projektne dokumentacije i ishođenje odobrenja za građenje graničnog prijelaza Hrvatska Kostajnica odnosi se 2,41% ukupnih rashoda. Pored toga, planirana je i isplata naknada za nekretnine u postupcima dovršavanja rješavanja imovinsko-pravnih odnosa za granične prijelaze iz postupaka legalizacije sa učešćem u ukupnim rashodima od 0,41%.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 xml:space="preserve"> U 2025. započeti će radovi izgradnje graničnog prijelaza Hrvatska Kostajnica na koje se odnosi 40,43% ukupnih rashoda, izgradnja pristupnog puta za poljoprivredo zemljište na graničnom prijelazu Vitaljina s udjelom od 23,90% u ukupnim rashodima te rekonstrukcija graničnog prijelaza Tovarnik s udjelom 33,09% u kupnim rashodima. Na izradu projektne dokumentacije i ishođenje odobrenja za građenje graničnog prijelaza Slavonski Šamac, Maljevac i Nova sela odnosi se 1,84% ukupnih rashoda. Pored toga, planirana je i isplata naknada za nekretnine u postupcima dovršavanja rješavanja imovinsko-pravnih odnosa za granične prijelaze iz postupaka legalizacije sa učešćem u ukupnim rashodima od 0,74%.   </w:t>
      </w:r>
    </w:p>
    <w:p w:rsidR="00D10959" w:rsidRPr="00D10959" w:rsidRDefault="00D10959" w:rsidP="00D10959">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val="sl-SI"/>
        </w:rPr>
      </w:pPr>
      <w:r w:rsidRPr="00D10959">
        <w:rPr>
          <w:rFonts w:ascii="Times New Roman" w:eastAsia="Times New Roman" w:hAnsi="Times New Roman" w:cs="Times New Roman"/>
          <w:szCs w:val="20"/>
          <w:lang w:val="sl-SI"/>
        </w:rPr>
        <w:t>Izračun potrebnih sredstava temeljio se na postojećim ugovorima sklopljenim s izvođačima radova i usluga, odnosno procjenom iskazanog troška temeljem određenih povijesnih podataka o približno istovrsnim oblicima određenih usluga prema ustaljenim kriterijima i standardima.</w:t>
      </w:r>
    </w:p>
    <w:p w:rsidR="00D10959" w:rsidRPr="00D10959" w:rsidRDefault="00D10959" w:rsidP="00D10959">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szCs w:val="20"/>
          <w:lang w:val="sl-SI"/>
        </w:rPr>
      </w:pPr>
      <w:r w:rsidRPr="00D10959">
        <w:rPr>
          <w:rFonts w:ascii="Times New Roman" w:eastAsia="Times New Roman" w:hAnsi="Times New Roman" w:cs="Times New Roman"/>
          <w:b/>
          <w:szCs w:val="20"/>
          <w:lang w:val="sl-SI"/>
        </w:rPr>
        <w:t>Pokazatelji rezultata</w:t>
      </w:r>
    </w:p>
    <w:tbl>
      <w:tblPr>
        <w:tblStyle w:val="StilTablice"/>
        <w:tblW w:w="10206" w:type="dxa"/>
        <w:jc w:val="center"/>
        <w:tblLook w:val="04A0" w:firstRow="1" w:lastRow="0" w:firstColumn="1" w:lastColumn="0" w:noHBand="0" w:noVBand="1"/>
      </w:tblPr>
      <w:tblGrid>
        <w:gridCol w:w="2245"/>
        <w:gridCol w:w="2245"/>
        <w:gridCol w:w="918"/>
        <w:gridCol w:w="918"/>
        <w:gridCol w:w="1126"/>
        <w:gridCol w:w="918"/>
        <w:gridCol w:w="918"/>
        <w:gridCol w:w="918"/>
      </w:tblGrid>
      <w:tr w:rsidR="00D10959" w:rsidRPr="00D10959" w:rsidTr="00452120">
        <w:trPr>
          <w:jc w:val="center"/>
        </w:trPr>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Pokazatelj rezultata</w:t>
            </w:r>
          </w:p>
        </w:tc>
        <w:tc>
          <w:tcPr>
            <w:tcW w:w="2245"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Definicija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Jedinica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Polazna vrijednost</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Izvor podataka</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(2023.)</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(2024.)</w:t>
            </w:r>
          </w:p>
        </w:tc>
        <w:tc>
          <w:tcPr>
            <w:tcW w:w="918" w:type="dxa"/>
            <w:shd w:val="clear" w:color="auto" w:fill="B5C0D8"/>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Ciljana vrijednost (2025.)</w:t>
            </w:r>
          </w:p>
        </w:tc>
      </w:tr>
      <w:tr w:rsidR="00D10959" w:rsidRPr="00D10959" w:rsidTr="00452120">
        <w:trPr>
          <w:jc w:val="center"/>
        </w:trPr>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Broj izgrađenih i rekonstruiranih graničnih prijelaza</w:t>
            </w:r>
          </w:p>
        </w:tc>
        <w:tc>
          <w:tcPr>
            <w:tcW w:w="2245" w:type="dxa"/>
            <w:vAlign w:val="top"/>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Završetkom radova na graničnim prijelazima ispuniti će se preduvjeti za početak uvođenja Schengenskog režima na vanjskoj granici Republike Hrvatske prema Srbiji, Bosni i Hercegovini i Crnoj Gori dok će se izvršenim građevinskim i infrastrulturnim zahvatima na postojećim graničnim prijelazima osigurati bolji uvjeti za obavljanje svih djelatnosti na graničnim prijelazima.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broj</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35</w:t>
            </w:r>
          </w:p>
        </w:tc>
        <w:tc>
          <w:tcPr>
            <w:tcW w:w="918" w:type="dxa"/>
          </w:tcPr>
          <w:p w:rsidR="00D10959" w:rsidRPr="00D10959" w:rsidRDefault="00D10959" w:rsidP="00D10959">
            <w:pPr>
              <w:overflowPunct w:val="0"/>
              <w:autoSpaceDE w:val="0"/>
              <w:autoSpaceDN w:val="0"/>
              <w:adjustRightInd w:val="0"/>
              <w:textAlignment w:val="baseline"/>
              <w:rPr>
                <w:rFonts w:eastAsia="Times New Roman" w:cs="Arial"/>
                <w:bCs/>
                <w:lang w:val="sl-SI" w:eastAsia="hr-HR"/>
              </w:rPr>
            </w:pPr>
            <w:r w:rsidRPr="00D10959">
              <w:rPr>
                <w:rFonts w:eastAsia="Times New Roman" w:cs="Times New Roman"/>
                <w:bCs/>
                <w:lang w:val="sl-SI" w:eastAsia="hr-HR"/>
              </w:rPr>
              <w:t>Ministarstvo financija</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w:t>
            </w:r>
          </w:p>
        </w:tc>
        <w:tc>
          <w:tcPr>
            <w:tcW w:w="918" w:type="dxa"/>
          </w:tcPr>
          <w:p w:rsidR="00D10959" w:rsidRPr="00D10959" w:rsidRDefault="00D10959" w:rsidP="00D10959">
            <w:pPr>
              <w:overflowPunct w:val="0"/>
              <w:autoSpaceDE w:val="0"/>
              <w:autoSpaceDN w:val="0"/>
              <w:adjustRightInd w:val="0"/>
              <w:textAlignment w:val="baseline"/>
              <w:rPr>
                <w:rFonts w:eastAsia="Times New Roman" w:cs="Times New Roman"/>
                <w:szCs w:val="20"/>
                <w:lang w:val="sl-SI"/>
              </w:rPr>
            </w:pPr>
            <w:r w:rsidRPr="00D10959">
              <w:rPr>
                <w:rFonts w:eastAsia="Times New Roman" w:cs="Times New Roman"/>
                <w:szCs w:val="20"/>
                <w:lang w:val="sl-SI"/>
              </w:rPr>
              <w:t>4</w:t>
            </w:r>
          </w:p>
        </w:tc>
      </w:tr>
    </w:tbl>
    <w:p w:rsidR="001C4FC8" w:rsidRPr="00DA04B9" w:rsidRDefault="001C4FC8" w:rsidP="00DA04B9"/>
    <w:sectPr w:rsidR="001C4FC8" w:rsidRPr="00DA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68"/>
    <w:rsid w:val="00045B6B"/>
    <w:rsid w:val="001C4FC8"/>
    <w:rsid w:val="003D2DB1"/>
    <w:rsid w:val="004F0630"/>
    <w:rsid w:val="005832FB"/>
    <w:rsid w:val="005A68A7"/>
    <w:rsid w:val="00620668"/>
    <w:rsid w:val="00824FD1"/>
    <w:rsid w:val="0084624F"/>
    <w:rsid w:val="008A182E"/>
    <w:rsid w:val="00917CCC"/>
    <w:rsid w:val="00AD136B"/>
    <w:rsid w:val="00B16DF7"/>
    <w:rsid w:val="00BA2AD7"/>
    <w:rsid w:val="00C91541"/>
    <w:rsid w:val="00CF44C8"/>
    <w:rsid w:val="00D10959"/>
    <w:rsid w:val="00DA04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C510-9253-4627-A857-F8B563B9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D10959"/>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spacing w:val="20"/>
      <w:sz w:val="32"/>
      <w:szCs w:val="32"/>
      <w:lang w:val="sl-SI"/>
    </w:rPr>
  </w:style>
  <w:style w:type="paragraph" w:styleId="Naslov2">
    <w:name w:val="heading 2"/>
    <w:basedOn w:val="Normal"/>
    <w:next w:val="Normal"/>
    <w:link w:val="Naslov2Char"/>
    <w:qFormat/>
    <w:rsid w:val="00D10959"/>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1"/>
    </w:pPr>
    <w:rPr>
      <w:rFonts w:ascii="Times New Roman" w:eastAsia="Times New Roman" w:hAnsi="Times New Roman" w:cs="Times New Roman"/>
      <w:b/>
      <w:spacing w:val="20"/>
      <w:sz w:val="30"/>
      <w:szCs w:val="30"/>
      <w:lang w:val="sl-SI"/>
    </w:rPr>
  </w:style>
  <w:style w:type="paragraph" w:styleId="Naslov3">
    <w:name w:val="heading 3"/>
    <w:basedOn w:val="Normal"/>
    <w:next w:val="Normal"/>
    <w:link w:val="Naslov3Char"/>
    <w:qFormat/>
    <w:rsid w:val="00D10959"/>
    <w:pPr>
      <w:keepNext/>
      <w:keepLines/>
      <w:pBdr>
        <w:top w:val="single" w:sz="4" w:space="1" w:color="auto"/>
        <w:bottom w:val="single" w:sz="4" w:space="1" w:color="auto"/>
      </w:pBdr>
      <w:shd w:val="clear" w:color="auto" w:fill="E6E6E6"/>
      <w:spacing w:after="120" w:line="288" w:lineRule="auto"/>
      <w:outlineLvl w:val="2"/>
    </w:pPr>
    <w:rPr>
      <w:rFonts w:ascii="Times New Roman" w:eastAsia="Times New Roman" w:hAnsi="Times New Roman" w:cs="Arial"/>
      <w:b/>
      <w:iCs/>
      <w:spacing w:val="20"/>
      <w:sz w:val="28"/>
      <w:szCs w:val="28"/>
      <w:lang w:val="sl-SI"/>
    </w:rPr>
  </w:style>
  <w:style w:type="paragraph" w:styleId="Naslov4">
    <w:name w:val="heading 4"/>
    <w:basedOn w:val="Normal"/>
    <w:next w:val="Normal"/>
    <w:link w:val="Naslov4Char"/>
    <w:qFormat/>
    <w:rsid w:val="00D10959"/>
    <w:pPr>
      <w:keepNext/>
      <w:keepLines/>
      <w:pBdr>
        <w:top w:val="single" w:sz="4" w:space="1" w:color="auto"/>
        <w:bottom w:val="single" w:sz="4" w:space="1" w:color="auto"/>
      </w:pBdr>
      <w:spacing w:after="120" w:line="240" w:lineRule="auto"/>
      <w:outlineLvl w:val="3"/>
    </w:pPr>
    <w:rPr>
      <w:rFonts w:ascii="Times New Roman" w:eastAsia="Times New Roman" w:hAnsi="Times New Roman" w:cs="Times New Roman"/>
      <w:b/>
      <w:bCs/>
      <w:sz w:val="28"/>
      <w:szCs w:val="28"/>
      <w:lang w:val="sl-SI"/>
    </w:rPr>
  </w:style>
  <w:style w:type="paragraph" w:styleId="Naslov5">
    <w:name w:val="heading 5"/>
    <w:basedOn w:val="Normal"/>
    <w:next w:val="Normal"/>
    <w:link w:val="Naslov5Char"/>
    <w:qFormat/>
    <w:rsid w:val="00D10959"/>
    <w:pPr>
      <w:keepNext/>
      <w:keepLines/>
      <w:overflowPunct w:val="0"/>
      <w:autoSpaceDE w:val="0"/>
      <w:autoSpaceDN w:val="0"/>
      <w:adjustRightInd w:val="0"/>
      <w:spacing w:after="120" w:line="240" w:lineRule="auto"/>
      <w:textAlignment w:val="baseline"/>
      <w:outlineLvl w:val="4"/>
    </w:pPr>
    <w:rPr>
      <w:rFonts w:ascii="Times New Roman" w:eastAsia="Times New Roman" w:hAnsi="Times New Roman" w:cs="Times New Roman"/>
      <w:b/>
      <w:sz w:val="26"/>
      <w:szCs w:val="26"/>
      <w:lang w:val="sl-SI"/>
    </w:rPr>
  </w:style>
  <w:style w:type="paragraph" w:styleId="Naslov6">
    <w:name w:val="heading 6"/>
    <w:basedOn w:val="Normal"/>
    <w:next w:val="Normal"/>
    <w:link w:val="Naslov6Char"/>
    <w:qFormat/>
    <w:rsid w:val="00D10959"/>
    <w:pPr>
      <w:keepNext/>
      <w:keepLines/>
      <w:overflowPunct w:val="0"/>
      <w:autoSpaceDE w:val="0"/>
      <w:autoSpaceDN w:val="0"/>
      <w:adjustRightInd w:val="0"/>
      <w:spacing w:after="120" w:line="240" w:lineRule="auto"/>
      <w:textAlignment w:val="baseline"/>
      <w:outlineLvl w:val="5"/>
    </w:pPr>
    <w:rPr>
      <w:rFonts w:ascii="Times New Roman" w:eastAsia="Times New Roman" w:hAnsi="Times New Roman" w:cs="Times New Roman"/>
      <w:b/>
      <w:sz w:val="24"/>
      <w:szCs w:val="24"/>
      <w:lang w:val="sl-SI"/>
    </w:rPr>
  </w:style>
  <w:style w:type="paragraph" w:styleId="Naslov7">
    <w:name w:val="heading 7"/>
    <w:basedOn w:val="Normal"/>
    <w:next w:val="Normal"/>
    <w:link w:val="Naslov7Char"/>
    <w:qFormat/>
    <w:rsid w:val="00D10959"/>
    <w:pPr>
      <w:keepNext/>
      <w:overflowPunct w:val="0"/>
      <w:autoSpaceDE w:val="0"/>
      <w:autoSpaceDN w:val="0"/>
      <w:adjustRightInd w:val="0"/>
      <w:spacing w:after="120" w:line="240" w:lineRule="auto"/>
      <w:textAlignment w:val="baseline"/>
      <w:outlineLvl w:val="6"/>
    </w:pPr>
    <w:rPr>
      <w:rFonts w:ascii="Times New Roman" w:eastAsia="Times New Roman" w:hAnsi="Times New Roman" w:cs="Times New Roman"/>
      <w:b/>
      <w:spacing w:val="24"/>
      <w:lang w:val="sl-SI"/>
    </w:rPr>
  </w:style>
  <w:style w:type="paragraph" w:styleId="Naslov8">
    <w:name w:val="heading 8"/>
    <w:basedOn w:val="Normal6"/>
    <w:next w:val="Normal"/>
    <w:link w:val="Naslov8Char"/>
    <w:uiPriority w:val="9"/>
    <w:unhideWhenUsed/>
    <w:qFormat/>
    <w:rsid w:val="00D10959"/>
    <w:pPr>
      <w:keepNext/>
      <w:keepLines/>
      <w:ind w:left="0"/>
      <w:outlineLvl w:val="7"/>
    </w:pPr>
    <w:rPr>
      <w:b/>
    </w:rPr>
  </w:style>
  <w:style w:type="paragraph" w:styleId="Naslov9">
    <w:name w:val="heading 9"/>
    <w:basedOn w:val="Normal"/>
    <w:next w:val="Normal"/>
    <w:link w:val="Naslov9Char"/>
    <w:uiPriority w:val="9"/>
    <w:semiHidden/>
    <w:unhideWhenUsed/>
    <w:qFormat/>
    <w:rsid w:val="00D10959"/>
    <w:pPr>
      <w:keepNext/>
      <w:keepLines/>
      <w:spacing w:before="40" w:after="0"/>
      <w:outlineLvl w:val="8"/>
    </w:pPr>
    <w:rPr>
      <w:rFonts w:ascii="Cambria" w:eastAsia="Times New Roman" w:hAnsi="Cambria" w:cs="Times New Roman"/>
      <w:i/>
      <w:iCs/>
      <w:color w:val="272727"/>
      <w:sz w:val="21"/>
      <w:szCs w:val="21"/>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10959"/>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D10959"/>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D1095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D10959"/>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D10959"/>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D10959"/>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D10959"/>
    <w:rPr>
      <w:rFonts w:ascii="Times New Roman" w:eastAsia="Times New Roman" w:hAnsi="Times New Roman" w:cs="Times New Roman"/>
      <w:b/>
      <w:spacing w:val="24"/>
      <w:lang w:val="sl-SI"/>
    </w:rPr>
  </w:style>
  <w:style w:type="character" w:customStyle="1" w:styleId="Naslov8Char">
    <w:name w:val="Naslov 8 Char"/>
    <w:basedOn w:val="Zadanifontodlomka"/>
    <w:link w:val="Naslov8"/>
    <w:uiPriority w:val="9"/>
    <w:rsid w:val="00D10959"/>
    <w:rPr>
      <w:rFonts w:ascii="Times New Roman" w:eastAsia="Times New Roman" w:hAnsi="Times New Roman" w:cs="Times New Roman"/>
      <w:b/>
      <w:szCs w:val="20"/>
      <w:lang w:val="sl-SI"/>
    </w:rPr>
  </w:style>
  <w:style w:type="paragraph" w:customStyle="1" w:styleId="Naslov91">
    <w:name w:val="Naslov 91"/>
    <w:basedOn w:val="Normal"/>
    <w:next w:val="Normal"/>
    <w:uiPriority w:val="9"/>
    <w:unhideWhenUsed/>
    <w:qFormat/>
    <w:rsid w:val="00D10959"/>
    <w:pPr>
      <w:keepNext/>
      <w:keepLines/>
      <w:overflowPunct w:val="0"/>
      <w:autoSpaceDE w:val="0"/>
      <w:autoSpaceDN w:val="0"/>
      <w:adjustRightInd w:val="0"/>
      <w:spacing w:after="120" w:line="240" w:lineRule="auto"/>
      <w:jc w:val="both"/>
      <w:textAlignment w:val="baseline"/>
      <w:outlineLvl w:val="8"/>
    </w:pPr>
    <w:rPr>
      <w:rFonts w:ascii="Cambria" w:eastAsia="Times New Roman" w:hAnsi="Cambria" w:cs="Times New Roman"/>
      <w:i/>
      <w:iCs/>
      <w:color w:val="272727"/>
      <w:sz w:val="21"/>
      <w:szCs w:val="21"/>
      <w:lang w:val="sl-SI"/>
    </w:rPr>
  </w:style>
  <w:style w:type="numbering" w:customStyle="1" w:styleId="Bezpopisa1">
    <w:name w:val="Bez popisa1"/>
    <w:next w:val="Bezpopisa"/>
    <w:uiPriority w:val="99"/>
    <w:semiHidden/>
    <w:unhideWhenUsed/>
    <w:rsid w:val="00D10959"/>
  </w:style>
  <w:style w:type="paragraph" w:customStyle="1" w:styleId="KAZALO">
    <w:name w:val="KAZALO"/>
    <w:basedOn w:val="Normal"/>
    <w:rsid w:val="00D10959"/>
    <w:pPr>
      <w:keepNext/>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sz w:val="32"/>
      <w:szCs w:val="32"/>
      <w:lang w:val="sl-SI"/>
    </w:rPr>
  </w:style>
  <w:style w:type="paragraph" w:styleId="Zaglavlje">
    <w:name w:val="header"/>
    <w:basedOn w:val="Normal"/>
    <w:link w:val="ZaglavljeChar"/>
    <w:semiHidden/>
    <w:rsid w:val="00D10959"/>
    <w:pPr>
      <w:pBdr>
        <w:bottom w:val="single" w:sz="4" w:space="1" w:color="auto"/>
      </w:pBdr>
      <w:tabs>
        <w:tab w:val="center" w:pos="4536"/>
        <w:tab w:val="right" w:pos="9072"/>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16"/>
      <w:szCs w:val="20"/>
      <w:lang w:val="sl-SI"/>
    </w:rPr>
  </w:style>
  <w:style w:type="character" w:customStyle="1" w:styleId="ZaglavljeChar">
    <w:name w:val="Zaglavlje Char"/>
    <w:basedOn w:val="Zadanifontodlomka"/>
    <w:link w:val="Zaglavlje"/>
    <w:semiHidden/>
    <w:rsid w:val="00D10959"/>
    <w:rPr>
      <w:rFonts w:ascii="Times New Roman" w:eastAsia="Times New Roman" w:hAnsi="Times New Roman" w:cs="Times New Roman"/>
      <w:sz w:val="16"/>
      <w:szCs w:val="20"/>
      <w:lang w:val="sl-SI"/>
    </w:rPr>
  </w:style>
  <w:style w:type="paragraph" w:styleId="Podnoje">
    <w:name w:val="footer"/>
    <w:basedOn w:val="Normal"/>
    <w:link w:val="PodnojeChar"/>
    <w:uiPriority w:val="99"/>
    <w:rsid w:val="00D10959"/>
    <w:pPr>
      <w:pBdr>
        <w:top w:val="single" w:sz="4" w:space="1" w:color="auto"/>
      </w:pBdr>
      <w:tabs>
        <w:tab w:val="right" w:pos="9540"/>
      </w:tabs>
      <w:overflowPunct w:val="0"/>
      <w:autoSpaceDE w:val="0"/>
      <w:autoSpaceDN w:val="0"/>
      <w:adjustRightInd w:val="0"/>
      <w:spacing w:after="120" w:line="240" w:lineRule="auto"/>
      <w:ind w:right="-21"/>
      <w:textAlignment w:val="baseline"/>
    </w:pPr>
    <w:rPr>
      <w:rFonts w:ascii="Times New Roman" w:eastAsia="Times New Roman" w:hAnsi="Times New Roman" w:cs="Times New Roman"/>
      <w:sz w:val="20"/>
      <w:szCs w:val="20"/>
      <w:lang w:val="sl-SI"/>
    </w:rPr>
  </w:style>
  <w:style w:type="character" w:customStyle="1" w:styleId="PodnojeChar">
    <w:name w:val="Podnožje Char"/>
    <w:basedOn w:val="Zadanifontodlomka"/>
    <w:link w:val="Podnoje"/>
    <w:uiPriority w:val="99"/>
    <w:rsid w:val="00D10959"/>
    <w:rPr>
      <w:rFonts w:ascii="Times New Roman" w:eastAsia="Times New Roman" w:hAnsi="Times New Roman" w:cs="Times New Roman"/>
      <w:sz w:val="20"/>
      <w:szCs w:val="20"/>
      <w:lang w:val="sl-SI"/>
    </w:rPr>
  </w:style>
  <w:style w:type="character" w:styleId="Brojstranice">
    <w:name w:val="page number"/>
    <w:basedOn w:val="Zadanifontodlomka"/>
    <w:semiHidden/>
    <w:rsid w:val="00D10959"/>
  </w:style>
  <w:style w:type="paragraph" w:customStyle="1" w:styleId="Normal3">
    <w:name w:val="Normal 3"/>
    <w:basedOn w:val="Normal"/>
    <w:link w:val="Normal3Char"/>
    <w:rsid w:val="00D10959"/>
    <w:pPr>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Cs w:val="20"/>
      <w:lang w:val="sl-SI"/>
    </w:rPr>
  </w:style>
  <w:style w:type="paragraph" w:customStyle="1" w:styleId="Normal4">
    <w:name w:val="Normal 4"/>
    <w:basedOn w:val="Normal"/>
    <w:link w:val="Normal4Char"/>
    <w:rsid w:val="00D10959"/>
    <w:pPr>
      <w:overflowPunct w:val="0"/>
      <w:autoSpaceDE w:val="0"/>
      <w:autoSpaceDN w:val="0"/>
      <w:adjustRightInd w:val="0"/>
      <w:spacing w:after="120" w:line="240" w:lineRule="auto"/>
      <w:ind w:left="540"/>
      <w:jc w:val="both"/>
      <w:textAlignment w:val="baseline"/>
    </w:pPr>
    <w:rPr>
      <w:rFonts w:ascii="Times New Roman" w:eastAsia="Times New Roman" w:hAnsi="Times New Roman" w:cs="Times New Roman"/>
      <w:szCs w:val="20"/>
      <w:lang w:val="sl-SI"/>
    </w:rPr>
  </w:style>
  <w:style w:type="paragraph" w:customStyle="1" w:styleId="Normal5">
    <w:name w:val="Normal 5"/>
    <w:basedOn w:val="Normal"/>
    <w:link w:val="Normal5Char"/>
    <w:rsid w:val="00D10959"/>
    <w:pPr>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Cs w:val="20"/>
      <w:lang w:val="sl-SI"/>
    </w:rPr>
  </w:style>
  <w:style w:type="paragraph" w:customStyle="1" w:styleId="Normal6">
    <w:name w:val="Normal 6"/>
    <w:basedOn w:val="Normal"/>
    <w:link w:val="Normal6Char"/>
    <w:rsid w:val="00D10959"/>
    <w:pPr>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Cs w:val="20"/>
      <w:lang w:val="sl-SI"/>
    </w:rPr>
  </w:style>
  <w:style w:type="character" w:customStyle="1" w:styleId="Normal3Char">
    <w:name w:val="Normal 3 Char"/>
    <w:basedOn w:val="Zadanifontodlomka"/>
    <w:link w:val="Normal3"/>
    <w:rsid w:val="00D10959"/>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D10959"/>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D10959"/>
    <w:rPr>
      <w:rFonts w:ascii="Times New Roman" w:eastAsia="Times New Roman" w:hAnsi="Times New Roman" w:cs="Times New Roman"/>
      <w:szCs w:val="20"/>
      <w:lang w:val="sl-SI"/>
    </w:rPr>
  </w:style>
  <w:style w:type="character" w:styleId="Istaknuto">
    <w:name w:val="Emphasis"/>
    <w:basedOn w:val="Zadanifontodlomka"/>
    <w:qFormat/>
    <w:rsid w:val="00D10959"/>
    <w:rPr>
      <w:b/>
      <w:bCs/>
      <w:i w:val="0"/>
      <w:iCs w:val="0"/>
    </w:rPr>
  </w:style>
  <w:style w:type="character" w:styleId="Naglaeno">
    <w:name w:val="Strong"/>
    <w:basedOn w:val="Zadanifontodlomka"/>
    <w:qFormat/>
    <w:rsid w:val="00D10959"/>
    <w:rPr>
      <w:b/>
      <w:bCs/>
    </w:rPr>
  </w:style>
  <w:style w:type="character" w:styleId="Hiperveza">
    <w:name w:val="Hyperlink"/>
    <w:basedOn w:val="Zadanifontodlomka"/>
    <w:uiPriority w:val="99"/>
    <w:rsid w:val="00D10959"/>
    <w:rPr>
      <w:color w:val="0000FF"/>
      <w:u w:val="single"/>
    </w:rPr>
  </w:style>
  <w:style w:type="table" w:styleId="Reetkatablice">
    <w:name w:val="Table Grid"/>
    <w:basedOn w:val="Obinatablica"/>
    <w:rsid w:val="00D109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D10959"/>
    <w:rPr>
      <w:rFonts w:ascii="Times New Roman" w:eastAsia="Times New Roman" w:hAnsi="Times New Roman" w:cs="Times New Roman"/>
      <w:szCs w:val="20"/>
      <w:lang w:val="sl-SI"/>
    </w:rPr>
  </w:style>
  <w:style w:type="paragraph" w:customStyle="1" w:styleId="CellHeader">
    <w:name w:val="CellHeader"/>
    <w:basedOn w:val="Normal"/>
    <w:qFormat/>
    <w:rsid w:val="00D10959"/>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paragraph" w:customStyle="1" w:styleId="CellColumn">
    <w:name w:val="CellColumn"/>
    <w:basedOn w:val="CellHeader"/>
    <w:qFormat/>
    <w:rsid w:val="00D10959"/>
  </w:style>
  <w:style w:type="character" w:customStyle="1" w:styleId="Naslov9Char">
    <w:name w:val="Naslov 9 Char"/>
    <w:basedOn w:val="Zadanifontodlomka"/>
    <w:link w:val="Naslov9"/>
    <w:uiPriority w:val="9"/>
    <w:rsid w:val="00D10959"/>
    <w:rPr>
      <w:rFonts w:ascii="Cambria" w:eastAsia="Times New Roman" w:hAnsi="Cambria" w:cs="Times New Roman"/>
      <w:i/>
      <w:iCs/>
      <w:color w:val="272727"/>
      <w:sz w:val="21"/>
      <w:szCs w:val="21"/>
      <w:lang w:val="sl-SI"/>
    </w:rPr>
  </w:style>
  <w:style w:type="table" w:customStyle="1" w:styleId="Style1">
    <w:name w:val="Style1"/>
    <w:basedOn w:val="Obinatablica"/>
    <w:uiPriority w:val="99"/>
    <w:rsid w:val="00D10959"/>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D10959"/>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D10959"/>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sl-SI"/>
    </w:rPr>
  </w:style>
  <w:style w:type="paragraph" w:styleId="Sadraj1">
    <w:name w:val="toc 1"/>
    <w:basedOn w:val="Normal"/>
    <w:next w:val="Normal"/>
    <w:autoRedefine/>
    <w:uiPriority w:val="39"/>
    <w:unhideWhenUsed/>
    <w:rsid w:val="00D10959"/>
    <w:pPr>
      <w:tabs>
        <w:tab w:val="right" w:leader="dot" w:pos="10194"/>
      </w:tabs>
      <w:overflowPunct w:val="0"/>
      <w:autoSpaceDE w:val="0"/>
      <w:autoSpaceDN w:val="0"/>
      <w:adjustRightInd w:val="0"/>
      <w:spacing w:after="100" w:line="240" w:lineRule="auto"/>
      <w:jc w:val="both"/>
      <w:textAlignment w:val="baseline"/>
    </w:pPr>
    <w:rPr>
      <w:rFonts w:ascii="Times New Roman" w:eastAsia="Times New Roman" w:hAnsi="Times New Roman" w:cs="Times New Roman"/>
      <w:b/>
      <w:szCs w:val="20"/>
      <w:lang w:val="sl-SI"/>
    </w:rPr>
  </w:style>
  <w:style w:type="character" w:customStyle="1" w:styleId="Naslov9Char1">
    <w:name w:val="Naslov 9 Char1"/>
    <w:basedOn w:val="Zadanifontodlomka"/>
    <w:uiPriority w:val="9"/>
    <w:semiHidden/>
    <w:rsid w:val="00D1095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6366</Words>
  <Characters>36290</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Šekoranja</dc:creator>
  <cp:keywords/>
  <dc:description/>
  <cp:lastModifiedBy>Katarina Brozić Puček</cp:lastModifiedBy>
  <cp:revision>2</cp:revision>
  <dcterms:created xsi:type="dcterms:W3CDTF">2023-03-01T14:01:00Z</dcterms:created>
  <dcterms:modified xsi:type="dcterms:W3CDTF">2023-03-01T14:01:00Z</dcterms:modified>
</cp:coreProperties>
</file>